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82C7A6">
      <w:pPr>
        <w:spacing w:line="360" w:lineRule="auto"/>
        <w:ind w:firstLine="560"/>
        <w:jc w:val="center"/>
        <w:rPr>
          <w:rFonts w:hint="eastAsia" w:ascii="宋体" w:hAnsi="宋体"/>
          <w:b/>
          <w:bCs/>
          <w:sz w:val="36"/>
          <w:szCs w:val="36"/>
        </w:rPr>
      </w:pPr>
      <w:r>
        <w:rPr>
          <w:rFonts w:hint="eastAsia" w:ascii="宋体" w:hAnsi="宋体"/>
          <w:b/>
          <w:bCs/>
          <w:sz w:val="36"/>
          <w:szCs w:val="36"/>
        </w:rPr>
        <w:t>远东控股集团有限公司</w:t>
      </w:r>
    </w:p>
    <w:p w14:paraId="393911B6">
      <w:pPr>
        <w:spacing w:line="360" w:lineRule="auto"/>
        <w:ind w:firstLine="560"/>
        <w:jc w:val="center"/>
        <w:rPr>
          <w:rFonts w:cs="宋体" w:asciiTheme="minorEastAsia" w:hAnsiTheme="minorEastAsia" w:eastAsiaTheme="minorEastAsia"/>
          <w:b/>
          <w:sz w:val="52"/>
          <w:szCs w:val="52"/>
          <w:lang w:val="zh-CN"/>
        </w:rPr>
      </w:pPr>
      <w:r>
        <w:rPr>
          <w:rFonts w:hint="eastAsia" w:ascii="宋体" w:hAnsi="宋体"/>
          <w:b/>
          <w:bCs/>
          <w:sz w:val="36"/>
          <w:szCs w:val="36"/>
        </w:rPr>
        <w:t>旗下子公司</w:t>
      </w:r>
      <w:r>
        <w:rPr>
          <w:rFonts w:hint="eastAsia" w:ascii="宋体" w:hAnsi="宋体"/>
          <w:b/>
          <w:bCs/>
          <w:sz w:val="36"/>
          <w:szCs w:val="36"/>
          <w:lang w:val="zh-CN"/>
        </w:rPr>
        <w:t>远东新材料有限公司</w:t>
      </w:r>
    </w:p>
    <w:p w14:paraId="2D2DA9CD">
      <w:pPr>
        <w:spacing w:line="420" w:lineRule="exact"/>
        <w:ind w:firstLine="2150" w:firstLineChars="595"/>
        <w:jc w:val="left"/>
        <w:rPr>
          <w:rFonts w:ascii="宋体" w:hAnsi="宋体"/>
          <w:b/>
          <w:bCs/>
          <w:sz w:val="36"/>
          <w:szCs w:val="36"/>
        </w:rPr>
      </w:pPr>
    </w:p>
    <w:p w14:paraId="00DA8DF2">
      <w:pPr>
        <w:spacing w:line="420" w:lineRule="exact"/>
        <w:ind w:firstLine="3415" w:firstLineChars="945"/>
        <w:jc w:val="left"/>
        <w:rPr>
          <w:rFonts w:ascii="宋体" w:hAnsi="宋体"/>
          <w:b/>
          <w:bCs/>
          <w:sz w:val="36"/>
          <w:szCs w:val="36"/>
        </w:rPr>
      </w:pPr>
      <w:r>
        <w:rPr>
          <w:rFonts w:hint="eastAsia" w:ascii="宋体" w:hAnsi="宋体"/>
          <w:b/>
          <w:bCs/>
          <w:sz w:val="36"/>
          <w:szCs w:val="36"/>
        </w:rPr>
        <w:t>设备招标书</w:t>
      </w:r>
    </w:p>
    <w:p w14:paraId="22BC7724">
      <w:pPr>
        <w:spacing w:line="600" w:lineRule="exact"/>
        <w:ind w:firstLine="2800" w:firstLineChars="1000"/>
        <w:jc w:val="both"/>
        <w:rPr>
          <w:rFonts w:hint="default" w:ascii="宋体" w:hAnsi="宋体"/>
          <w:sz w:val="28"/>
          <w:szCs w:val="28"/>
          <w:lang w:val="en-US"/>
        </w:rPr>
      </w:pPr>
      <w:r>
        <w:rPr>
          <w:rFonts w:hint="eastAsia" w:ascii="宋体" w:hAnsi="宋体"/>
          <w:sz w:val="28"/>
          <w:szCs w:val="28"/>
        </w:rPr>
        <w:t>招标书编号：</w:t>
      </w:r>
      <w:r>
        <w:rPr>
          <w:rFonts w:hint="eastAsia" w:ascii="宋体" w:hAnsi="宋体"/>
          <w:sz w:val="28"/>
          <w:szCs w:val="28"/>
          <w:lang w:val="en-US" w:eastAsia="zh-CN"/>
        </w:rPr>
        <w:t>20260522-01</w:t>
      </w:r>
      <w:bookmarkStart w:id="0" w:name="_GoBack"/>
      <w:bookmarkEnd w:id="0"/>
    </w:p>
    <w:p w14:paraId="700142B9">
      <w:pPr>
        <w:pStyle w:val="11"/>
        <w:keepNext w:val="0"/>
        <w:keepLines w:val="0"/>
        <w:widowControl/>
        <w:suppressLineNumbers w:val="0"/>
        <w:spacing w:before="0" w:beforeAutospacing="1" w:after="0" w:afterAutospacing="1"/>
        <w:ind w:left="0" w:right="0"/>
        <w:jc w:val="left"/>
        <w:rPr>
          <w:sz w:val="24"/>
        </w:rPr>
      </w:pPr>
      <w:r>
        <w:rPr>
          <w:rFonts w:hint="eastAsia"/>
          <w:sz w:val="24"/>
        </w:rPr>
        <w:t>远东控股集团有限公司</w:t>
      </w:r>
      <w:r>
        <w:rPr>
          <w:rFonts w:hint="eastAsia"/>
          <w:sz w:val="24"/>
          <w:lang w:eastAsia="zh-CN"/>
        </w:rPr>
        <w:t>采供</w:t>
      </w:r>
      <w:r>
        <w:rPr>
          <w:rFonts w:hint="eastAsia"/>
          <w:sz w:val="24"/>
        </w:rPr>
        <w:t>中心受旗下子公司远东</w:t>
      </w:r>
      <w:r>
        <w:rPr>
          <w:rFonts w:hint="eastAsia"/>
          <w:sz w:val="24"/>
          <w:lang w:eastAsia="zh-CN"/>
        </w:rPr>
        <w:t>新材料</w:t>
      </w:r>
      <w:r>
        <w:rPr>
          <w:rFonts w:hint="eastAsia"/>
          <w:sz w:val="24"/>
        </w:rPr>
        <w:t>有限公司委托，对所购设备进行公开招标，</w:t>
      </w:r>
      <w:r>
        <w:rPr>
          <w:rFonts w:hint="eastAsia" w:ascii="宋体" w:hAnsi="宋体" w:eastAsia="宋体" w:cs="宋体"/>
          <w:kern w:val="0"/>
          <w:sz w:val="24"/>
          <w:szCs w:val="24"/>
          <w:lang w:val="en-US" w:eastAsia="zh-CN" w:bidi="ar"/>
        </w:rPr>
        <w:t>远东新材料有限公司地处长三角经济圈的千年陶都宜兴市，注册资金</w:t>
      </w:r>
      <w:r>
        <w:rPr>
          <w:rFonts w:hint="default" w:ascii="Calibri" w:hAnsi="Calibri" w:eastAsia="宋体" w:cs="Times New Roman"/>
          <w:kern w:val="0"/>
          <w:sz w:val="24"/>
          <w:szCs w:val="24"/>
          <w:lang w:val="en-US" w:eastAsia="zh-CN" w:bidi="ar"/>
        </w:rPr>
        <w:t>5</w:t>
      </w:r>
      <w:r>
        <w:rPr>
          <w:rFonts w:hint="eastAsia" w:ascii="宋体" w:hAnsi="宋体" w:eastAsia="宋体" w:cs="宋体"/>
          <w:kern w:val="0"/>
          <w:sz w:val="24"/>
          <w:szCs w:val="24"/>
          <w:lang w:val="en-US" w:eastAsia="zh-CN" w:bidi="ar"/>
        </w:rPr>
        <w:t>千万元，占地面积</w:t>
      </w:r>
      <w:r>
        <w:rPr>
          <w:rFonts w:hint="default" w:ascii="Calibri" w:hAnsi="Calibri" w:eastAsia="宋体" w:cs="Calibri"/>
          <w:kern w:val="0"/>
          <w:sz w:val="24"/>
          <w:szCs w:val="24"/>
          <w:lang w:val="en-US" w:eastAsia="zh-CN" w:bidi="ar"/>
        </w:rPr>
        <w:t>50000</w:t>
      </w:r>
      <w:r>
        <w:rPr>
          <w:rFonts w:hint="eastAsia" w:ascii="宋体" w:hAnsi="宋体" w:eastAsia="宋体" w:cs="宋体"/>
          <w:kern w:val="0"/>
          <w:sz w:val="24"/>
          <w:szCs w:val="24"/>
          <w:lang w:val="en-US" w:eastAsia="zh-CN" w:bidi="ar"/>
        </w:rPr>
        <w:t>平方，是远东 智慧能源 股份有限公司（股票代码：</w:t>
      </w:r>
      <w:r>
        <w:rPr>
          <w:rFonts w:hint="default" w:ascii="Calibri" w:hAnsi="Calibri" w:eastAsia="宋体" w:cs="Calibri"/>
          <w:kern w:val="0"/>
          <w:sz w:val="24"/>
          <w:szCs w:val="24"/>
          <w:lang w:val="en-US" w:eastAsia="zh-CN" w:bidi="ar"/>
        </w:rPr>
        <w:t>600869</w:t>
      </w:r>
      <w:r>
        <w:rPr>
          <w:rFonts w:hint="eastAsia" w:ascii="宋体" w:hAnsi="宋体" w:eastAsia="宋体" w:cs="宋体"/>
          <w:kern w:val="0"/>
          <w:sz w:val="24"/>
          <w:szCs w:val="24"/>
          <w:lang w:val="en-US" w:eastAsia="zh-CN" w:bidi="ar"/>
        </w:rPr>
        <w:t>）全资子公司。公司致力于研发和生产电缆电线新材料和高分子新材料，主要有聚氯乙烯绝缘料，聚氯乙烯护套料，聚氯乙烯阻燃料，聚氯乙烯架空料，</w:t>
      </w:r>
      <w:r>
        <w:rPr>
          <w:rFonts w:hint="default" w:ascii="Calibri" w:hAnsi="Calibri" w:eastAsia="宋体" w:cs="Calibri"/>
          <w:kern w:val="0"/>
          <w:sz w:val="24"/>
          <w:szCs w:val="24"/>
          <w:lang w:val="en-US" w:eastAsia="zh-CN" w:bidi="ar"/>
        </w:rPr>
        <w:t>10~35KV</w:t>
      </w:r>
      <w:r>
        <w:rPr>
          <w:rFonts w:hint="eastAsia" w:ascii="宋体" w:hAnsi="宋体" w:eastAsia="宋体" w:cs="宋体"/>
          <w:kern w:val="0"/>
          <w:sz w:val="24"/>
          <w:szCs w:val="24"/>
          <w:lang w:val="en-US" w:eastAsia="zh-CN" w:bidi="ar"/>
        </w:rPr>
        <w:t>过氧化物交联聚乙烯绝缘料，</w:t>
      </w:r>
      <w:r>
        <w:rPr>
          <w:rFonts w:hint="default" w:ascii="Calibri" w:hAnsi="Calibri" w:eastAsia="宋体" w:cs="Calibri"/>
          <w:kern w:val="0"/>
          <w:sz w:val="24"/>
          <w:szCs w:val="24"/>
          <w:lang w:val="en-US" w:eastAsia="zh-CN" w:bidi="ar"/>
        </w:rPr>
        <w:t>1KV</w:t>
      </w:r>
      <w:r>
        <w:rPr>
          <w:rFonts w:hint="eastAsia" w:ascii="宋体" w:hAnsi="宋体" w:eastAsia="宋体" w:cs="宋体"/>
          <w:kern w:val="0"/>
          <w:sz w:val="24"/>
          <w:szCs w:val="24"/>
          <w:lang w:val="en-US" w:eastAsia="zh-CN" w:bidi="ar"/>
        </w:rPr>
        <w:t>硅烷交联绝缘、架空料，低烟无卤阻燃电缆护套料，屏蔽料等系列产品，是追求质量与品牌企业的首选。自创办以来，公司已通过</w:t>
      </w:r>
      <w:r>
        <w:rPr>
          <w:rFonts w:hint="default" w:ascii="Calibri" w:hAnsi="Calibri" w:eastAsia="宋体" w:cs="Calibri"/>
          <w:kern w:val="0"/>
          <w:sz w:val="24"/>
          <w:szCs w:val="24"/>
          <w:lang w:val="en-US" w:eastAsia="zh-CN" w:bidi="ar"/>
        </w:rPr>
        <w:t>IS09001</w:t>
      </w:r>
      <w:r>
        <w:rPr>
          <w:rFonts w:hint="eastAsia" w:ascii="宋体" w:hAnsi="宋体" w:eastAsia="宋体" w:cs="宋体"/>
          <w:kern w:val="0"/>
          <w:sz w:val="24"/>
          <w:szCs w:val="24"/>
          <w:lang w:val="en-US" w:eastAsia="zh-CN" w:bidi="ar"/>
        </w:rPr>
        <w:t>质量管理体系认证、</w:t>
      </w:r>
      <w:r>
        <w:rPr>
          <w:rFonts w:hint="default" w:ascii="Calibri" w:hAnsi="Calibri" w:eastAsia="宋体" w:cs="Calibri"/>
          <w:kern w:val="0"/>
          <w:sz w:val="24"/>
          <w:szCs w:val="24"/>
          <w:lang w:val="en-US" w:eastAsia="zh-CN" w:bidi="ar"/>
        </w:rPr>
        <w:t>IS014001</w:t>
      </w:r>
      <w:r>
        <w:rPr>
          <w:rFonts w:hint="eastAsia" w:ascii="宋体" w:hAnsi="宋体" w:eastAsia="宋体" w:cs="宋体"/>
          <w:kern w:val="0"/>
          <w:sz w:val="24"/>
          <w:szCs w:val="24"/>
          <w:lang w:val="en-US" w:eastAsia="zh-CN" w:bidi="ar"/>
        </w:rPr>
        <w:t>环境管理体系认证和</w:t>
      </w:r>
      <w:r>
        <w:rPr>
          <w:rFonts w:hint="default" w:ascii="Calibri" w:hAnsi="Calibri" w:eastAsia="宋体" w:cs="Calibri"/>
          <w:kern w:val="0"/>
          <w:sz w:val="24"/>
          <w:szCs w:val="24"/>
          <w:lang w:val="en-US" w:eastAsia="zh-CN" w:bidi="ar"/>
        </w:rPr>
        <w:t>OHSAS18001</w:t>
      </w:r>
      <w:r>
        <w:rPr>
          <w:rFonts w:hint="eastAsia" w:ascii="宋体" w:hAnsi="宋体" w:eastAsia="宋体" w:cs="宋体"/>
          <w:kern w:val="0"/>
          <w:sz w:val="24"/>
          <w:szCs w:val="24"/>
          <w:lang w:val="en-US" w:eastAsia="zh-CN" w:bidi="ar"/>
        </w:rPr>
        <w:t>职业健康安全管理体系认证；拥有国内外先进的生产设备和检测设备，其中拥有先进流水线</w:t>
      </w:r>
      <w:r>
        <w:rPr>
          <w:rFonts w:hint="default" w:ascii="Calibri" w:hAnsi="Calibri" w:eastAsia="宋体" w:cs="Calibri"/>
          <w:kern w:val="0"/>
          <w:sz w:val="24"/>
          <w:szCs w:val="24"/>
          <w:lang w:val="en-US" w:eastAsia="zh-CN" w:bidi="ar"/>
        </w:rPr>
        <w:t>14</w:t>
      </w:r>
      <w:r>
        <w:rPr>
          <w:rFonts w:hint="eastAsia" w:ascii="宋体" w:hAnsi="宋体" w:eastAsia="宋体" w:cs="宋体"/>
          <w:kern w:val="0"/>
          <w:sz w:val="24"/>
          <w:szCs w:val="24"/>
          <w:lang w:val="en-US" w:eastAsia="zh-CN" w:bidi="ar"/>
        </w:rPr>
        <w:t>条，年产销能力达到</w:t>
      </w:r>
      <w:r>
        <w:rPr>
          <w:rFonts w:hint="default" w:ascii="Calibri" w:hAnsi="Calibri" w:eastAsia="宋体" w:cs="Calibri"/>
          <w:kern w:val="0"/>
          <w:sz w:val="24"/>
          <w:szCs w:val="24"/>
          <w:lang w:val="en-US" w:eastAsia="zh-CN" w:bidi="ar"/>
        </w:rPr>
        <w:t>5</w:t>
      </w:r>
      <w:r>
        <w:rPr>
          <w:rFonts w:hint="eastAsia" w:ascii="宋体" w:hAnsi="宋体" w:eastAsia="宋体" w:cs="宋体"/>
          <w:kern w:val="0"/>
          <w:sz w:val="24"/>
          <w:szCs w:val="24"/>
          <w:lang w:val="en-US" w:eastAsia="zh-CN" w:bidi="ar"/>
        </w:rPr>
        <w:t>亿元的规模。公司坚持</w:t>
      </w:r>
      <w:r>
        <w:rPr>
          <w:rFonts w:hint="default" w:ascii="Calibri" w:hAnsi="Calibri" w:eastAsia="宋体" w:cs="Calibri"/>
          <w:kern w:val="0"/>
          <w:sz w:val="24"/>
          <w:szCs w:val="24"/>
          <w:lang w:val="en-US" w:eastAsia="zh-CN" w:bidi="ar"/>
        </w:rPr>
        <w:t>“</w:t>
      </w:r>
      <w:r>
        <w:rPr>
          <w:rFonts w:hint="eastAsia" w:ascii="宋体" w:hAnsi="宋体" w:eastAsia="宋体" w:cs="宋体"/>
          <w:kern w:val="0"/>
          <w:sz w:val="24"/>
          <w:szCs w:val="24"/>
          <w:lang w:val="en-US" w:eastAsia="zh-CN" w:bidi="ar"/>
        </w:rPr>
        <w:t>全心全意为客户服务的宗旨</w:t>
      </w:r>
      <w:r>
        <w:rPr>
          <w:rFonts w:hint="default" w:ascii="Calibri" w:hAnsi="Calibri" w:eastAsia="宋体" w:cs="Calibri"/>
          <w:kern w:val="0"/>
          <w:sz w:val="24"/>
          <w:szCs w:val="24"/>
          <w:lang w:val="en-US" w:eastAsia="zh-CN" w:bidi="ar"/>
        </w:rPr>
        <w:t>”</w:t>
      </w:r>
      <w:r>
        <w:rPr>
          <w:rFonts w:hint="eastAsia" w:ascii="宋体" w:hAnsi="宋体" w:eastAsia="宋体" w:cs="宋体"/>
          <w:kern w:val="0"/>
          <w:sz w:val="24"/>
          <w:szCs w:val="24"/>
          <w:lang w:val="en-US" w:eastAsia="zh-CN" w:bidi="ar"/>
        </w:rPr>
        <w:t>，发扬</w:t>
      </w:r>
      <w:r>
        <w:rPr>
          <w:rFonts w:hint="default" w:ascii="Calibri" w:hAnsi="Calibri" w:eastAsia="宋体" w:cs="Calibri"/>
          <w:kern w:val="0"/>
          <w:sz w:val="24"/>
          <w:szCs w:val="24"/>
          <w:lang w:val="en-US" w:eastAsia="zh-CN" w:bidi="ar"/>
        </w:rPr>
        <w:t>“</w:t>
      </w:r>
      <w:r>
        <w:rPr>
          <w:rFonts w:hint="eastAsia" w:ascii="宋体" w:hAnsi="宋体" w:eastAsia="宋体" w:cs="宋体"/>
          <w:kern w:val="0"/>
          <w:sz w:val="24"/>
          <w:szCs w:val="24"/>
          <w:lang w:val="en-US" w:eastAsia="zh-CN" w:bidi="ar"/>
        </w:rPr>
        <w:t>永不满足，追求卓越</w:t>
      </w:r>
      <w:r>
        <w:rPr>
          <w:rFonts w:hint="default" w:ascii="Calibri" w:hAnsi="Calibri" w:eastAsia="宋体" w:cs="Calibri"/>
          <w:kern w:val="0"/>
          <w:sz w:val="24"/>
          <w:szCs w:val="24"/>
          <w:lang w:val="en-US" w:eastAsia="zh-CN" w:bidi="ar"/>
        </w:rPr>
        <w:t>”</w:t>
      </w:r>
      <w:r>
        <w:rPr>
          <w:rFonts w:hint="eastAsia" w:ascii="宋体" w:hAnsi="宋体" w:eastAsia="宋体" w:cs="宋体"/>
          <w:kern w:val="0"/>
          <w:sz w:val="24"/>
          <w:szCs w:val="24"/>
          <w:lang w:val="en-US" w:eastAsia="zh-CN" w:bidi="ar"/>
        </w:rPr>
        <w:t>的企业精神，立足产品节能环保和安全，以创新和服务市场为导向，不断为电力建设发展和科技进步作出重要贡献，致力于在所经营的领域取得世界领先地位。</w:t>
      </w:r>
      <w:r>
        <w:rPr>
          <w:rFonts w:hint="eastAsia"/>
          <w:sz w:val="24"/>
        </w:rPr>
        <w:t>现发出招标文书，凡符合招标书要求的厂商均可参与投标。投标有关内容如下：</w:t>
      </w:r>
    </w:p>
    <w:p w14:paraId="3D5B7E4A">
      <w:pPr>
        <w:numPr>
          <w:ilvl w:val="0"/>
          <w:numId w:val="1"/>
        </w:numPr>
        <w:spacing w:line="400" w:lineRule="exact"/>
        <w:rPr>
          <w:b/>
          <w:sz w:val="24"/>
        </w:rPr>
      </w:pPr>
      <w:r>
        <w:rPr>
          <w:rFonts w:hint="eastAsia"/>
          <w:b/>
          <w:sz w:val="24"/>
        </w:rPr>
        <w:t>招标设备名称与数量：</w:t>
      </w:r>
    </w:p>
    <w:p w14:paraId="439AF266">
      <w:pPr>
        <w:spacing w:line="400" w:lineRule="exact"/>
        <w:ind w:firstLine="480"/>
        <w:rPr>
          <w:rFonts w:hint="default" w:eastAsia="宋体"/>
          <w:sz w:val="24"/>
          <w:lang w:val="en-US" w:eastAsia="zh-CN"/>
        </w:rPr>
      </w:pPr>
      <w:r>
        <w:rPr>
          <w:rFonts w:hint="eastAsia"/>
          <w:sz w:val="24"/>
        </w:rPr>
        <w:t xml:space="preserve">   见设备招标技术书</w:t>
      </w:r>
      <w:r>
        <w:rPr>
          <w:rFonts w:hint="eastAsia"/>
          <w:sz w:val="24"/>
          <w:lang w:eastAsia="zh-CN"/>
        </w:rPr>
        <w:t>（详见后附件</w:t>
      </w:r>
      <w:r>
        <w:rPr>
          <w:rFonts w:hint="eastAsia"/>
          <w:sz w:val="24"/>
          <w:lang w:val="en-US" w:eastAsia="zh-CN"/>
        </w:rPr>
        <w:t>）</w:t>
      </w:r>
    </w:p>
    <w:p w14:paraId="26E14B0F">
      <w:pPr>
        <w:spacing w:line="400" w:lineRule="exact"/>
        <w:rPr>
          <w:b/>
          <w:sz w:val="24"/>
        </w:rPr>
      </w:pPr>
      <w:r>
        <w:rPr>
          <w:rFonts w:hint="eastAsia"/>
          <w:sz w:val="24"/>
        </w:rPr>
        <w:t>二</w:t>
      </w:r>
      <w:r>
        <w:rPr>
          <w:rFonts w:hint="eastAsia"/>
          <w:b/>
          <w:sz w:val="24"/>
        </w:rPr>
        <w:t>、招标设备的要求与相关技术参数见设备的技术要求.</w:t>
      </w:r>
    </w:p>
    <w:p w14:paraId="32FAF935">
      <w:pPr>
        <w:spacing w:line="400" w:lineRule="exact"/>
        <w:rPr>
          <w:b/>
          <w:sz w:val="24"/>
        </w:rPr>
      </w:pPr>
      <w:r>
        <w:rPr>
          <w:rFonts w:hint="eastAsia"/>
          <w:b/>
          <w:sz w:val="24"/>
        </w:rPr>
        <w:t>三、报价方式及交货期,付款方式：</w:t>
      </w:r>
    </w:p>
    <w:p w14:paraId="2022210B">
      <w:pPr>
        <w:spacing w:line="400" w:lineRule="exact"/>
        <w:ind w:left="561" w:leftChars="267"/>
        <w:rPr>
          <w:rFonts w:hint="eastAsia" w:eastAsia="宋体"/>
          <w:color w:val="FF0000"/>
          <w:sz w:val="24"/>
          <w:lang w:eastAsia="zh-CN"/>
        </w:rPr>
      </w:pPr>
      <w:r>
        <w:rPr>
          <w:rFonts w:hint="eastAsia"/>
          <w:color w:val="000000" w:themeColor="text1"/>
          <w:sz w:val="24"/>
          <w14:textFill>
            <w14:solidFill>
              <w14:schemeClr w14:val="tx1"/>
            </w14:solidFill>
          </w14:textFill>
        </w:rPr>
        <w:t>投标方报价应包含设备价、第三方检测费用及调试费、包装，运输、保险费、工程施工费；设备质保期经调试验收合格后至少壹年。付款方式为：预付10%，到货并收到</w:t>
      </w:r>
      <w:r>
        <w:rPr>
          <w:rFonts w:hint="eastAsia"/>
          <w:color w:val="000000" w:themeColor="text1"/>
          <w:sz w:val="24"/>
          <w:lang w:eastAsia="zh-CN"/>
          <w14:textFill>
            <w14:solidFill>
              <w14:schemeClr w14:val="tx1"/>
            </w14:solidFill>
          </w14:textFill>
        </w:rPr>
        <w:t>全额增值税</w:t>
      </w:r>
      <w:r>
        <w:rPr>
          <w:rFonts w:hint="eastAsia"/>
          <w:color w:val="000000" w:themeColor="text1"/>
          <w:sz w:val="24"/>
          <w14:textFill>
            <w14:solidFill>
              <w14:schemeClr w14:val="tx1"/>
            </w14:solidFill>
          </w14:textFill>
        </w:rPr>
        <w:t>发票支付40%，设备验收支付</w:t>
      </w:r>
      <w:r>
        <w:rPr>
          <w:rFonts w:hint="eastAsia"/>
          <w:color w:val="000000" w:themeColor="text1"/>
          <w:sz w:val="24"/>
          <w:lang w:val="en-US" w:eastAsia="zh-CN"/>
          <w14:textFill>
            <w14:solidFill>
              <w14:schemeClr w14:val="tx1"/>
            </w14:solidFill>
          </w14:textFill>
        </w:rPr>
        <w:t>4</w:t>
      </w:r>
      <w:r>
        <w:rPr>
          <w:rFonts w:hint="eastAsia"/>
          <w:color w:val="000000" w:themeColor="text1"/>
          <w:sz w:val="24"/>
          <w14:textFill>
            <w14:solidFill>
              <w14:schemeClr w14:val="tx1"/>
            </w14:solidFill>
          </w14:textFill>
        </w:rPr>
        <w:t>0%，设备质保金10%。</w:t>
      </w:r>
      <w:r>
        <w:rPr>
          <w:rFonts w:hint="eastAsia"/>
          <w:color w:val="FF0000"/>
          <w:sz w:val="24"/>
          <w:lang w:eastAsia="zh-CN"/>
        </w:rPr>
        <w:t>（如有异议可做商务偏离表）</w:t>
      </w:r>
    </w:p>
    <w:p w14:paraId="4668B46D">
      <w:pPr>
        <w:widowControl/>
        <w:spacing w:before="156" w:beforeLines="50" w:line="400" w:lineRule="exact"/>
        <w:ind w:left="826" w:hanging="826" w:hangingChars="343"/>
        <w:jc w:val="left"/>
        <w:rPr>
          <w:b/>
          <w:sz w:val="24"/>
        </w:rPr>
      </w:pPr>
      <w:r>
        <w:rPr>
          <w:rFonts w:hint="eastAsia"/>
          <w:b/>
          <w:sz w:val="24"/>
        </w:rPr>
        <w:t>四、 投标商需提供投标文件的内容</w:t>
      </w:r>
    </w:p>
    <w:p w14:paraId="78665FCC">
      <w:pPr>
        <w:widowControl/>
        <w:spacing w:before="156" w:beforeLines="50" w:line="400" w:lineRule="exact"/>
        <w:jc w:val="left"/>
        <w:rPr>
          <w:sz w:val="24"/>
        </w:rPr>
      </w:pPr>
      <w:r>
        <w:rPr>
          <w:rFonts w:hint="eastAsia"/>
          <w:sz w:val="24"/>
        </w:rPr>
        <w:t>1、企业资质文件</w:t>
      </w:r>
    </w:p>
    <w:p w14:paraId="4836F39B">
      <w:pPr>
        <w:spacing w:line="400" w:lineRule="exact"/>
        <w:ind w:left="561" w:leftChars="267"/>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提供公司情况介绍、经营许可证、税务登记证书、法人授权投标人委托授权书、</w:t>
      </w:r>
      <w:r>
        <w:rPr>
          <w:rFonts w:hint="eastAsia"/>
          <w:color w:val="000000" w:themeColor="text1"/>
          <w:sz w:val="24"/>
          <w:lang w:eastAsia="zh-CN"/>
          <w14:textFill>
            <w14:solidFill>
              <w14:schemeClr w14:val="tx1"/>
            </w14:solidFill>
          </w14:textFill>
        </w:rPr>
        <w:t>财务审计报告</w:t>
      </w:r>
      <w:r>
        <w:rPr>
          <w:rFonts w:hint="eastAsia"/>
          <w:color w:val="000000" w:themeColor="text1"/>
          <w:sz w:val="24"/>
          <w14:textFill>
            <w14:solidFill>
              <w14:schemeClr w14:val="tx1"/>
            </w14:solidFill>
          </w14:textFill>
        </w:rPr>
        <w:t>、</w:t>
      </w:r>
      <w:r>
        <w:rPr>
          <w:rFonts w:hint="eastAsia"/>
          <w:color w:val="000000" w:themeColor="text1"/>
          <w:sz w:val="24"/>
          <w:lang w:eastAsia="zh-CN"/>
          <w14:textFill>
            <w14:solidFill>
              <w14:schemeClr w14:val="tx1"/>
            </w14:solidFill>
          </w14:textFill>
        </w:rPr>
        <w:t>体系文件</w:t>
      </w:r>
      <w:r>
        <w:rPr>
          <w:rFonts w:hint="eastAsia"/>
          <w:color w:val="000000" w:themeColor="text1"/>
          <w:sz w:val="24"/>
          <w14:textFill>
            <w14:solidFill>
              <w14:schemeClr w14:val="tx1"/>
            </w14:solidFill>
          </w14:textFill>
        </w:rPr>
        <w:t>；公司对本次项目的专项授权及承诺书等有效资质证明；20</w:t>
      </w:r>
      <w:r>
        <w:rPr>
          <w:rFonts w:hint="eastAsia"/>
          <w:color w:val="000000" w:themeColor="text1"/>
          <w:sz w:val="24"/>
          <w:lang w:val="en-US" w:eastAsia="zh-CN"/>
          <w14:textFill>
            <w14:solidFill>
              <w14:schemeClr w14:val="tx1"/>
            </w14:solidFill>
          </w14:textFill>
        </w:rPr>
        <w:t>23</w:t>
      </w:r>
      <w:r>
        <w:rPr>
          <w:rFonts w:hint="eastAsia"/>
          <w:color w:val="000000" w:themeColor="text1"/>
          <w:sz w:val="24"/>
          <w14:textFill>
            <w14:solidFill>
              <w14:schemeClr w14:val="tx1"/>
            </w14:solidFill>
          </w14:textFill>
        </w:rPr>
        <w:t>年至今同类设备的近期销售业绩表，用户名称、时间、联系方式及用户意见等；质量保证体系证书、设备制造资质证书复印件</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等。</w:t>
      </w:r>
    </w:p>
    <w:p w14:paraId="01E61E7C">
      <w:pPr>
        <w:spacing w:line="400" w:lineRule="exact"/>
        <w:rPr>
          <w:sz w:val="24"/>
        </w:rPr>
      </w:pPr>
      <w:r>
        <w:rPr>
          <w:rFonts w:hint="eastAsia"/>
          <w:sz w:val="24"/>
        </w:rPr>
        <w:t>2、技术文件：</w:t>
      </w:r>
    </w:p>
    <w:p w14:paraId="2648142B">
      <w:pPr>
        <w:spacing w:line="400" w:lineRule="exact"/>
        <w:ind w:left="414" w:leftChars="197"/>
        <w:rPr>
          <w:sz w:val="24"/>
        </w:rPr>
      </w:pPr>
      <w:r>
        <w:rPr>
          <w:rFonts w:hint="eastAsia"/>
          <w:sz w:val="24"/>
        </w:rPr>
        <w:t>投标设备的制造标准；投标设备的技术规范书按招标设备的技术要求应详细说明设备配置、产商和设备各部分性能特点，技术参数，外形图，部件的结构、材料，电控系统说明，随机备件清单，随机技术资料目录，技术服务承诺，质量保证承诺等</w:t>
      </w:r>
    </w:p>
    <w:p w14:paraId="678FB306">
      <w:pPr>
        <w:spacing w:line="400" w:lineRule="exact"/>
        <w:rPr>
          <w:sz w:val="24"/>
        </w:rPr>
      </w:pPr>
      <w:r>
        <w:rPr>
          <w:rFonts w:hint="eastAsia"/>
          <w:sz w:val="24"/>
        </w:rPr>
        <w:t>3、商务文件：</w:t>
      </w:r>
    </w:p>
    <w:p w14:paraId="647889C3">
      <w:pPr>
        <w:spacing w:line="400" w:lineRule="exact"/>
        <w:ind w:left="420" w:leftChars="200"/>
        <w:rPr>
          <w:sz w:val="24"/>
        </w:rPr>
      </w:pPr>
      <w:r>
        <w:rPr>
          <w:rFonts w:hint="eastAsia"/>
          <w:sz w:val="24"/>
        </w:rPr>
        <w:t>投标设备的最短交货期；投标设备各组成部份（分项报价）、设备常用备品备件（分项报价）、品牌标准（国内前三）；投标设备的付款方式确认。</w:t>
      </w:r>
    </w:p>
    <w:p w14:paraId="20415C1A">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、投标书正本一份，副本</w:t>
      </w:r>
      <w:r>
        <w:rPr>
          <w:rFonts w:hint="eastAsia"/>
          <w:color w:val="FF0000"/>
          <w:sz w:val="24"/>
          <w:lang w:eastAsia="zh-CN"/>
        </w:rPr>
        <w:t>二</w:t>
      </w:r>
      <w:r>
        <w:rPr>
          <w:rFonts w:hint="eastAsia"/>
          <w:color w:val="FF0000"/>
          <w:sz w:val="24"/>
        </w:rPr>
        <w:t>份，投标文件须密封并在封口签字或加盖公章(需在快递袋上注明公司名称及标书字样)。</w:t>
      </w:r>
    </w:p>
    <w:p w14:paraId="62108D99">
      <w:pPr>
        <w:widowControl/>
        <w:spacing w:before="156" w:beforeLines="50" w:line="400" w:lineRule="exact"/>
        <w:jc w:val="left"/>
        <w:rPr>
          <w:sz w:val="24"/>
        </w:rPr>
      </w:pPr>
      <w:r>
        <w:rPr>
          <w:rFonts w:hint="eastAsia"/>
          <w:sz w:val="24"/>
        </w:rPr>
        <w:t>注：</w:t>
      </w:r>
      <w:r>
        <w:rPr>
          <w:rFonts w:hint="eastAsia"/>
          <w:color w:val="FF0000"/>
          <w:sz w:val="24"/>
        </w:rPr>
        <w:t>商务标书与技术标必须分开（商务报价独立密封）</w:t>
      </w:r>
    </w:p>
    <w:p w14:paraId="2682D72A">
      <w:pPr>
        <w:spacing w:line="400" w:lineRule="exact"/>
        <w:rPr>
          <w:b/>
          <w:sz w:val="24"/>
        </w:rPr>
      </w:pPr>
      <w:r>
        <w:rPr>
          <w:rFonts w:hint="eastAsia"/>
          <w:b/>
          <w:sz w:val="24"/>
        </w:rPr>
        <w:t>五、投标方需要说明的其它事项：</w:t>
      </w:r>
    </w:p>
    <w:p w14:paraId="7F84E306">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27F6853D">
      <w:pPr>
        <w:spacing w:line="400" w:lineRule="exact"/>
        <w:ind w:firstLine="120" w:firstLineChars="50"/>
        <w:rPr>
          <w:sz w:val="24"/>
        </w:rPr>
      </w:pPr>
      <w:r>
        <w:rPr>
          <w:rFonts w:hint="eastAsia"/>
          <w:sz w:val="24"/>
        </w:rPr>
        <w:t>2、招标方在合同签定之前有权对设备采购数量和性能参数进行调整。</w:t>
      </w:r>
    </w:p>
    <w:p w14:paraId="04A6D45D">
      <w:pPr>
        <w:spacing w:line="400" w:lineRule="exact"/>
        <w:ind w:left="501" w:leftChars="67" w:hanging="360" w:hangingChars="150"/>
        <w:rPr>
          <w:sz w:val="24"/>
        </w:rPr>
      </w:pPr>
      <w:r>
        <w:rPr>
          <w:rFonts w:hint="eastAsia"/>
          <w:sz w:val="24"/>
        </w:rPr>
        <w:t>3、</w:t>
      </w:r>
      <w:r>
        <w:rPr>
          <w:rFonts w:hint="eastAsia"/>
          <w:color w:val="FF0000"/>
          <w:sz w:val="24"/>
        </w:rPr>
        <w:t>本次设备招标采购的投标截止时间为20</w:t>
      </w:r>
      <w:r>
        <w:rPr>
          <w:rFonts w:hint="eastAsia"/>
          <w:color w:val="FF0000"/>
          <w:sz w:val="24"/>
          <w:lang w:val="en-US" w:eastAsia="zh-CN"/>
        </w:rPr>
        <w:t>26</w:t>
      </w:r>
      <w:r>
        <w:rPr>
          <w:rFonts w:hint="eastAsia"/>
          <w:color w:val="FF0000"/>
          <w:sz w:val="24"/>
        </w:rPr>
        <w:t>年</w:t>
      </w:r>
      <w:r>
        <w:rPr>
          <w:rFonts w:hint="eastAsia"/>
          <w:color w:val="FF0000"/>
          <w:sz w:val="24"/>
          <w:lang w:val="en-US" w:eastAsia="zh-CN"/>
        </w:rPr>
        <w:t>06</w:t>
      </w:r>
      <w:r>
        <w:rPr>
          <w:rFonts w:hint="eastAsia"/>
          <w:color w:val="FF0000"/>
          <w:sz w:val="24"/>
        </w:rPr>
        <w:t>月</w:t>
      </w:r>
      <w:r>
        <w:rPr>
          <w:rFonts w:hint="eastAsia"/>
          <w:color w:val="FF0000"/>
          <w:sz w:val="24"/>
          <w:lang w:val="en-US" w:eastAsia="zh-CN"/>
        </w:rPr>
        <w:t>05</w:t>
      </w:r>
      <w:r>
        <w:rPr>
          <w:rFonts w:hint="eastAsia"/>
          <w:color w:val="FF0000"/>
          <w:sz w:val="24"/>
        </w:rPr>
        <w:t>日17时,投标方将投标书以快件形式寄至招标方</w:t>
      </w:r>
      <w:r>
        <w:rPr>
          <w:rFonts w:hint="eastAsia"/>
          <w:sz w:val="24"/>
        </w:rPr>
        <w:t xml:space="preserve">。   </w:t>
      </w:r>
    </w:p>
    <w:p w14:paraId="2979AF23">
      <w:pPr>
        <w:spacing w:line="400" w:lineRule="exact"/>
        <w:ind w:firstLine="120" w:firstLineChars="50"/>
        <w:rPr>
          <w:sz w:val="24"/>
        </w:rPr>
      </w:pPr>
      <w:r>
        <w:rPr>
          <w:rFonts w:hint="eastAsia"/>
          <w:sz w:val="24"/>
        </w:rPr>
        <w:t>4、本次招标开标时</w:t>
      </w:r>
      <w:r>
        <w:rPr>
          <w:rFonts w:hint="eastAsia"/>
          <w:sz w:val="24"/>
          <w:lang w:eastAsia="zh-CN"/>
        </w:rPr>
        <w:t>会</w:t>
      </w:r>
      <w:r>
        <w:rPr>
          <w:rFonts w:hint="eastAsia"/>
          <w:sz w:val="24"/>
        </w:rPr>
        <w:t>邀请投标方派员参加</w:t>
      </w:r>
      <w:r>
        <w:rPr>
          <w:rFonts w:hint="eastAsia"/>
          <w:sz w:val="24"/>
          <w:lang w:eastAsia="zh-CN"/>
        </w:rPr>
        <w:t>（具体时间已通知为准）</w:t>
      </w:r>
      <w:r>
        <w:rPr>
          <w:rFonts w:hint="eastAsia"/>
          <w:sz w:val="24"/>
        </w:rPr>
        <w:t xml:space="preserve">。 </w:t>
      </w:r>
    </w:p>
    <w:p w14:paraId="72F7A490">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42384850">
      <w:pPr>
        <w:spacing w:line="400" w:lineRule="exact"/>
        <w:ind w:left="501" w:leftChars="67" w:hanging="360" w:hangingChars="150"/>
        <w:rPr>
          <w:rFonts w:hint="eastAsia"/>
          <w:sz w:val="24"/>
        </w:rPr>
      </w:pPr>
      <w:r>
        <w:rPr>
          <w:rFonts w:hint="eastAsia"/>
          <w:sz w:val="24"/>
        </w:rPr>
        <w:t>6、招标方依据评审和答疑结果确定中标单位，并通知中标单位签订合同、技术协议等文件，对未中标单位招标方不作解释。</w:t>
      </w:r>
    </w:p>
    <w:p w14:paraId="10574EF4">
      <w:pPr>
        <w:rPr>
          <w:sz w:val="24"/>
        </w:rPr>
      </w:pPr>
      <w:r>
        <w:rPr>
          <w:rFonts w:hint="eastAsia"/>
          <w:sz w:val="24"/>
        </w:rPr>
        <w:t>联系人：杨剑 18861779123   （投标书收件人）</w:t>
      </w:r>
    </w:p>
    <w:p w14:paraId="7EF3861C">
      <w:pPr>
        <w:rPr>
          <w:sz w:val="24"/>
        </w:rPr>
      </w:pPr>
      <w:r>
        <w:rPr>
          <w:rFonts w:hint="eastAsia"/>
          <w:sz w:val="24"/>
        </w:rPr>
        <w:t>电话：0510-8724 4889，传真：0510-8724 9221</w:t>
      </w:r>
    </w:p>
    <w:p w14:paraId="511B650A">
      <w:pPr>
        <w:rPr>
          <w:sz w:val="24"/>
        </w:rPr>
      </w:pPr>
      <w:r>
        <w:rPr>
          <w:rFonts w:hint="eastAsia"/>
          <w:sz w:val="24"/>
        </w:rPr>
        <w:t>邮寄地址：江苏省宜兴市</w:t>
      </w:r>
      <w:r>
        <w:rPr>
          <w:rFonts w:hint="eastAsia"/>
          <w:sz w:val="24"/>
          <w:lang w:eastAsia="zh-CN"/>
        </w:rPr>
        <w:t>远东大道</w:t>
      </w:r>
      <w:r>
        <w:rPr>
          <w:rFonts w:hint="eastAsia"/>
          <w:sz w:val="24"/>
          <w:lang w:val="en-US" w:eastAsia="zh-CN"/>
        </w:rPr>
        <w:t>8</w:t>
      </w:r>
      <w:r>
        <w:rPr>
          <w:rFonts w:hint="eastAsia"/>
          <w:sz w:val="24"/>
        </w:rPr>
        <w:t>号</w:t>
      </w:r>
      <w:r>
        <w:rPr>
          <w:rFonts w:hint="eastAsia"/>
          <w:sz w:val="24"/>
          <w:lang w:val="en-US" w:eastAsia="zh-CN"/>
        </w:rPr>
        <w:t>105室</w:t>
      </w:r>
      <w:r>
        <w:rPr>
          <w:rFonts w:hint="eastAsia"/>
          <w:sz w:val="24"/>
        </w:rPr>
        <w:t>，邮政编码：214257</w:t>
      </w:r>
    </w:p>
    <w:p w14:paraId="7F078475">
      <w:pPr>
        <w:spacing w:line="420" w:lineRule="exact"/>
        <w:ind w:firstLine="813" w:firstLineChars="225"/>
        <w:jc w:val="center"/>
        <w:rPr>
          <w:rFonts w:ascii="宋体" w:hAnsi="宋体" w:cs="Courier New"/>
          <w:b/>
          <w:color w:val="000000"/>
          <w:sz w:val="36"/>
          <w:szCs w:val="36"/>
        </w:rPr>
      </w:pPr>
    </w:p>
    <w:p w14:paraId="1646FC9E">
      <w:pPr>
        <w:spacing w:line="360" w:lineRule="exact"/>
        <w:ind w:left="480" w:hanging="480" w:hangingChars="200"/>
        <w:rPr>
          <w:color w:val="0000FF"/>
          <w:sz w:val="24"/>
          <w:u w:val="single"/>
        </w:rPr>
      </w:pPr>
    </w:p>
    <w:p w14:paraId="33BF91C2">
      <w:pPr>
        <w:spacing w:line="360" w:lineRule="auto"/>
        <w:jc w:val="center"/>
        <w:rPr>
          <w:sz w:val="24"/>
        </w:rPr>
      </w:pPr>
    </w:p>
    <w:sectPr>
      <w:footerReference r:id="rId3" w:type="default"/>
      <w:pgSz w:w="11906" w:h="16838"/>
      <w:pgMar w:top="1418" w:right="1133" w:bottom="1135" w:left="900" w:header="851" w:footer="50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BEAE4">
    <w:pPr>
      <w:pStyle w:val="7"/>
      <w:jc w:val="center"/>
      <w:rPr>
        <w:rFonts w:ascii="宋体"/>
        <w:sz w:val="24"/>
        <w:szCs w:val="24"/>
      </w:rPr>
    </w:pPr>
    <w:r>
      <w:rPr>
        <w:rStyle w:val="16"/>
        <w:rFonts w:ascii="宋体" w:hAnsi="宋体"/>
        <w:sz w:val="24"/>
        <w:szCs w:val="24"/>
      </w:rPr>
      <w:fldChar w:fldCharType="begin"/>
    </w:r>
    <w:r>
      <w:rPr>
        <w:rStyle w:val="16"/>
        <w:rFonts w:ascii="宋体" w:hAnsi="宋体"/>
        <w:sz w:val="24"/>
        <w:szCs w:val="24"/>
      </w:rPr>
      <w:instrText xml:space="preserve"> PAGE </w:instrText>
    </w:r>
    <w:r>
      <w:rPr>
        <w:rStyle w:val="16"/>
        <w:rFonts w:ascii="宋体" w:hAnsi="宋体"/>
        <w:sz w:val="24"/>
        <w:szCs w:val="24"/>
      </w:rPr>
      <w:fldChar w:fldCharType="separate"/>
    </w:r>
    <w:r>
      <w:rPr>
        <w:rStyle w:val="16"/>
        <w:rFonts w:ascii="宋体" w:hAnsi="宋体"/>
        <w:sz w:val="24"/>
        <w:szCs w:val="24"/>
      </w:rPr>
      <w:t>4</w:t>
    </w:r>
    <w:r>
      <w:rPr>
        <w:rStyle w:val="16"/>
        <w:rFonts w:ascii="宋体" w:hAnsi="宋体"/>
        <w:sz w:val="24"/>
        <w:szCs w:val="24"/>
      </w:rPr>
      <w:fldChar w:fldCharType="end"/>
    </w:r>
    <w:r>
      <w:rPr>
        <w:rStyle w:val="16"/>
        <w:rFonts w:ascii="宋体" w:hAnsi="宋体"/>
        <w:sz w:val="24"/>
        <w:szCs w:val="24"/>
      </w:rPr>
      <w:t>/</w:t>
    </w:r>
    <w:r>
      <w:rPr>
        <w:rStyle w:val="16"/>
        <w:rFonts w:ascii="宋体" w:hAnsi="宋体"/>
        <w:sz w:val="24"/>
        <w:szCs w:val="24"/>
      </w:rPr>
      <w:fldChar w:fldCharType="begin"/>
    </w:r>
    <w:r>
      <w:rPr>
        <w:rStyle w:val="16"/>
        <w:rFonts w:ascii="宋体" w:hAnsi="宋体"/>
        <w:sz w:val="24"/>
        <w:szCs w:val="24"/>
      </w:rPr>
      <w:instrText xml:space="preserve"> NUMPAGES </w:instrText>
    </w:r>
    <w:r>
      <w:rPr>
        <w:rStyle w:val="16"/>
        <w:rFonts w:ascii="宋体" w:hAnsi="宋体"/>
        <w:sz w:val="24"/>
        <w:szCs w:val="24"/>
      </w:rPr>
      <w:fldChar w:fldCharType="separate"/>
    </w:r>
    <w:r>
      <w:rPr>
        <w:rStyle w:val="16"/>
        <w:rFonts w:ascii="宋体" w:hAnsi="宋体"/>
        <w:sz w:val="24"/>
        <w:szCs w:val="24"/>
      </w:rPr>
      <w:t>37</w:t>
    </w:r>
    <w:r>
      <w:rPr>
        <w:rStyle w:val="16"/>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BF0E29"/>
    <w:multiLevelType w:val="multilevel"/>
    <w:tmpl w:val="5ABF0E29"/>
    <w:lvl w:ilvl="0" w:tentative="0">
      <w:start w:val="1"/>
      <w:numFmt w:val="japaneseCounting"/>
      <w:lvlText w:val="%1、"/>
      <w:lvlJc w:val="left"/>
      <w:pPr>
        <w:tabs>
          <w:tab w:val="left" w:pos="720"/>
        </w:tabs>
        <w:ind w:left="720" w:hanging="720"/>
      </w:pPr>
      <w:rPr>
        <w:rFonts w:hint="default"/>
      </w:rPr>
    </w:lvl>
    <w:lvl w:ilvl="1" w:tentative="0">
      <w:start w:val="5"/>
      <w:numFmt w:val="decimal"/>
      <w:lvlText w:val="（%2）"/>
      <w:lvlJc w:val="left"/>
      <w:pPr>
        <w:tabs>
          <w:tab w:val="left" w:pos="1500"/>
        </w:tabs>
        <w:ind w:left="1500" w:hanging="1080"/>
      </w:pPr>
      <w:rPr>
        <w:rFonts w:hint="default" w:ascii="Times New Roman" w:hAnsi="Times New Roman" w:eastAsia="仿宋_GB2312"/>
        <w:sz w:val="24"/>
      </w:rPr>
    </w:lvl>
    <w:lvl w:ilvl="2" w:tentative="0">
      <w:start w:val="1"/>
      <w:numFmt w:val="decimal"/>
      <w:lvlText w:val="%3、"/>
      <w:lvlJc w:val="left"/>
      <w:pPr>
        <w:tabs>
          <w:tab w:val="left" w:pos="1560"/>
        </w:tabs>
        <w:ind w:left="1560" w:hanging="720"/>
      </w:pPr>
      <w:rPr>
        <w:rFonts w:hint="default"/>
        <w:u w:val="none"/>
      </w:rPr>
    </w:lvl>
    <w:lvl w:ilvl="3" w:tentative="0">
      <w:start w:val="1"/>
      <w:numFmt w:val="decimal"/>
      <w:lvlText w:val="%4．"/>
      <w:lvlJc w:val="left"/>
      <w:pPr>
        <w:tabs>
          <w:tab w:val="left" w:pos="1980"/>
        </w:tabs>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5MjYxMzY2NzAwMzFlNjU5Nzg1OWE4MjZiYTlmMGY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7BB7"/>
    <w:rsid w:val="000D232F"/>
    <w:rsid w:val="000E0EC6"/>
    <w:rsid w:val="000E2660"/>
    <w:rsid w:val="000F0F0F"/>
    <w:rsid w:val="00102BD1"/>
    <w:rsid w:val="00103217"/>
    <w:rsid w:val="00110DBB"/>
    <w:rsid w:val="001160A5"/>
    <w:rsid w:val="00124019"/>
    <w:rsid w:val="001320CF"/>
    <w:rsid w:val="0013270E"/>
    <w:rsid w:val="0013337A"/>
    <w:rsid w:val="00136772"/>
    <w:rsid w:val="00145DBA"/>
    <w:rsid w:val="0015536F"/>
    <w:rsid w:val="0016186A"/>
    <w:rsid w:val="00170E6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E61"/>
    <w:rsid w:val="002C1E73"/>
    <w:rsid w:val="002C7C7F"/>
    <w:rsid w:val="002D5F97"/>
    <w:rsid w:val="002E063E"/>
    <w:rsid w:val="002E3F54"/>
    <w:rsid w:val="00303328"/>
    <w:rsid w:val="003049DA"/>
    <w:rsid w:val="00304C7A"/>
    <w:rsid w:val="00313A54"/>
    <w:rsid w:val="00321A4A"/>
    <w:rsid w:val="00322244"/>
    <w:rsid w:val="00335365"/>
    <w:rsid w:val="00351972"/>
    <w:rsid w:val="00351E4F"/>
    <w:rsid w:val="00360CF5"/>
    <w:rsid w:val="00364470"/>
    <w:rsid w:val="00381827"/>
    <w:rsid w:val="0039687C"/>
    <w:rsid w:val="003A0082"/>
    <w:rsid w:val="003A1E19"/>
    <w:rsid w:val="003B12A3"/>
    <w:rsid w:val="003B4FFB"/>
    <w:rsid w:val="003C22F5"/>
    <w:rsid w:val="003C5C90"/>
    <w:rsid w:val="003D35D7"/>
    <w:rsid w:val="003E13CC"/>
    <w:rsid w:val="003E34D1"/>
    <w:rsid w:val="003F5817"/>
    <w:rsid w:val="003F7D63"/>
    <w:rsid w:val="004055DD"/>
    <w:rsid w:val="00405876"/>
    <w:rsid w:val="004148B8"/>
    <w:rsid w:val="00420F1E"/>
    <w:rsid w:val="00422A3D"/>
    <w:rsid w:val="004320E7"/>
    <w:rsid w:val="00451CCB"/>
    <w:rsid w:val="00453361"/>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8409B"/>
    <w:rsid w:val="00684918"/>
    <w:rsid w:val="00684C4D"/>
    <w:rsid w:val="006856E0"/>
    <w:rsid w:val="00686513"/>
    <w:rsid w:val="0069606B"/>
    <w:rsid w:val="00696ED1"/>
    <w:rsid w:val="006E0D46"/>
    <w:rsid w:val="006E1ECC"/>
    <w:rsid w:val="006E4CBF"/>
    <w:rsid w:val="006F136A"/>
    <w:rsid w:val="0072514A"/>
    <w:rsid w:val="00733A58"/>
    <w:rsid w:val="007401BD"/>
    <w:rsid w:val="007409FA"/>
    <w:rsid w:val="007443E5"/>
    <w:rsid w:val="00745C04"/>
    <w:rsid w:val="00747300"/>
    <w:rsid w:val="00752506"/>
    <w:rsid w:val="00752584"/>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9347D"/>
    <w:rsid w:val="009954F4"/>
    <w:rsid w:val="009A5E59"/>
    <w:rsid w:val="009B3E54"/>
    <w:rsid w:val="009D51E3"/>
    <w:rsid w:val="009D52BA"/>
    <w:rsid w:val="009D5795"/>
    <w:rsid w:val="009E07FE"/>
    <w:rsid w:val="009E0B4C"/>
    <w:rsid w:val="009E2007"/>
    <w:rsid w:val="009F1792"/>
    <w:rsid w:val="009F7BF6"/>
    <w:rsid w:val="00A01198"/>
    <w:rsid w:val="00A03556"/>
    <w:rsid w:val="00A10CA3"/>
    <w:rsid w:val="00A1547D"/>
    <w:rsid w:val="00A221B1"/>
    <w:rsid w:val="00A315A8"/>
    <w:rsid w:val="00A33321"/>
    <w:rsid w:val="00A4034B"/>
    <w:rsid w:val="00A52FA9"/>
    <w:rsid w:val="00A67B7A"/>
    <w:rsid w:val="00A941EC"/>
    <w:rsid w:val="00AB0604"/>
    <w:rsid w:val="00AB4524"/>
    <w:rsid w:val="00AC6D18"/>
    <w:rsid w:val="00AD4D0A"/>
    <w:rsid w:val="00AE5765"/>
    <w:rsid w:val="00AE75C4"/>
    <w:rsid w:val="00B0208B"/>
    <w:rsid w:val="00B20742"/>
    <w:rsid w:val="00B318CB"/>
    <w:rsid w:val="00B31B5E"/>
    <w:rsid w:val="00B33068"/>
    <w:rsid w:val="00B51313"/>
    <w:rsid w:val="00B57785"/>
    <w:rsid w:val="00B57DFD"/>
    <w:rsid w:val="00B8210F"/>
    <w:rsid w:val="00B83C4B"/>
    <w:rsid w:val="00B941EB"/>
    <w:rsid w:val="00BA4EE4"/>
    <w:rsid w:val="00BB26CA"/>
    <w:rsid w:val="00BC263D"/>
    <w:rsid w:val="00BD5BD9"/>
    <w:rsid w:val="00BD5C2B"/>
    <w:rsid w:val="00BE6B5B"/>
    <w:rsid w:val="00BF236F"/>
    <w:rsid w:val="00BF2EC2"/>
    <w:rsid w:val="00BF68EA"/>
    <w:rsid w:val="00C01909"/>
    <w:rsid w:val="00C125BC"/>
    <w:rsid w:val="00C201F9"/>
    <w:rsid w:val="00C24509"/>
    <w:rsid w:val="00C3763F"/>
    <w:rsid w:val="00C457B2"/>
    <w:rsid w:val="00C54FA3"/>
    <w:rsid w:val="00C55FCC"/>
    <w:rsid w:val="00C649B1"/>
    <w:rsid w:val="00C832C6"/>
    <w:rsid w:val="00C87039"/>
    <w:rsid w:val="00C9133D"/>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10683"/>
    <w:rsid w:val="00E14D3A"/>
    <w:rsid w:val="00E221A7"/>
    <w:rsid w:val="00E2631F"/>
    <w:rsid w:val="00E32263"/>
    <w:rsid w:val="00E66812"/>
    <w:rsid w:val="00E71AFD"/>
    <w:rsid w:val="00E945F4"/>
    <w:rsid w:val="00E96B73"/>
    <w:rsid w:val="00EA647A"/>
    <w:rsid w:val="00EA66E4"/>
    <w:rsid w:val="00EB0BEF"/>
    <w:rsid w:val="00EB7078"/>
    <w:rsid w:val="00ED0A9C"/>
    <w:rsid w:val="00ED3407"/>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D78EA"/>
    <w:rsid w:val="00FE1A8E"/>
    <w:rsid w:val="00FF26A4"/>
    <w:rsid w:val="00FF29B8"/>
    <w:rsid w:val="07F43D1B"/>
    <w:rsid w:val="09294617"/>
    <w:rsid w:val="09FD44E6"/>
    <w:rsid w:val="0B6A4E50"/>
    <w:rsid w:val="0C2D26F2"/>
    <w:rsid w:val="0F9D0696"/>
    <w:rsid w:val="10335342"/>
    <w:rsid w:val="186E33F9"/>
    <w:rsid w:val="1D1C0950"/>
    <w:rsid w:val="1DC03F47"/>
    <w:rsid w:val="24060996"/>
    <w:rsid w:val="271C0A04"/>
    <w:rsid w:val="2ACD1247"/>
    <w:rsid w:val="2B446972"/>
    <w:rsid w:val="2B7C61BF"/>
    <w:rsid w:val="2EA4655B"/>
    <w:rsid w:val="2FA66557"/>
    <w:rsid w:val="31661DB4"/>
    <w:rsid w:val="346B4728"/>
    <w:rsid w:val="41403AFC"/>
    <w:rsid w:val="42943461"/>
    <w:rsid w:val="469450CF"/>
    <w:rsid w:val="499F561F"/>
    <w:rsid w:val="4C8E5E0A"/>
    <w:rsid w:val="4D746736"/>
    <w:rsid w:val="5A4C7D81"/>
    <w:rsid w:val="5ADB6194"/>
    <w:rsid w:val="5FBE7D8F"/>
    <w:rsid w:val="73413A6E"/>
    <w:rsid w:val="76556A0B"/>
    <w:rsid w:val="78424E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he-IL"/>
    </w:rPr>
  </w:style>
  <w:style w:type="paragraph" w:styleId="2">
    <w:name w:val="heading 1"/>
    <w:basedOn w:val="1"/>
    <w:next w:val="1"/>
    <w:link w:val="27"/>
    <w:autoRedefine/>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18"/>
    <w:autoRedefine/>
    <w:qFormat/>
    <w:uiPriority w:val="9"/>
    <w:pPr>
      <w:keepNext/>
      <w:keepLines/>
      <w:spacing w:before="260" w:after="260" w:line="415" w:lineRule="auto"/>
      <w:outlineLvl w:val="1"/>
    </w:pPr>
    <w:rPr>
      <w:rFonts w:ascii="Arial" w:hAnsi="Arial" w:eastAsia="黑体"/>
      <w:b/>
      <w:bCs/>
      <w:sz w:val="32"/>
      <w:szCs w:val="32"/>
      <w:lang w:bidi="ar-SA"/>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link w:val="31"/>
    <w:autoRedefine/>
    <w:qFormat/>
    <w:uiPriority w:val="0"/>
    <w:pPr>
      <w:widowControl/>
      <w:jc w:val="left"/>
    </w:pPr>
    <w:rPr>
      <w:b/>
      <w:bCs/>
      <w:kern w:val="0"/>
      <w:sz w:val="24"/>
      <w:lang w:eastAsia="en-US" w:bidi="ar-SA"/>
    </w:rPr>
  </w:style>
  <w:style w:type="paragraph" w:styleId="5">
    <w:name w:val="Body Text Indent"/>
    <w:basedOn w:val="1"/>
    <w:link w:val="30"/>
    <w:autoRedefine/>
    <w:qFormat/>
    <w:uiPriority w:val="0"/>
    <w:pPr>
      <w:ind w:left="62" w:leftChars="62"/>
    </w:pPr>
    <w:rPr>
      <w:rFonts w:hint="eastAsia" w:ascii="宋体" w:hAnsi="宋体"/>
      <w:sz w:val="28"/>
      <w:lang w:bidi="ar-SA"/>
    </w:rPr>
  </w:style>
  <w:style w:type="paragraph" w:styleId="6">
    <w:name w:val="Plain Text"/>
    <w:basedOn w:val="1"/>
    <w:next w:val="7"/>
    <w:link w:val="24"/>
    <w:autoRedefine/>
    <w:qFormat/>
    <w:uiPriority w:val="0"/>
    <w:rPr>
      <w:rFonts w:ascii="宋体"/>
      <w:kern w:val="0"/>
      <w:lang w:bidi="ar-SA"/>
    </w:rPr>
  </w:style>
  <w:style w:type="paragraph" w:styleId="7">
    <w:name w:val="footer"/>
    <w:basedOn w:val="1"/>
    <w:link w:val="21"/>
    <w:autoRedefine/>
    <w:qFormat/>
    <w:uiPriority w:val="99"/>
    <w:pPr>
      <w:tabs>
        <w:tab w:val="center" w:pos="4153"/>
        <w:tab w:val="right" w:pos="8306"/>
      </w:tabs>
      <w:snapToGrid w:val="0"/>
      <w:jc w:val="left"/>
    </w:pPr>
    <w:rPr>
      <w:sz w:val="18"/>
      <w:szCs w:val="18"/>
    </w:rPr>
  </w:style>
  <w:style w:type="paragraph" w:styleId="8">
    <w:name w:val="Date"/>
    <w:basedOn w:val="1"/>
    <w:next w:val="1"/>
    <w:link w:val="22"/>
    <w:autoRedefine/>
    <w:qFormat/>
    <w:uiPriority w:val="99"/>
    <w:pPr>
      <w:ind w:left="2500" w:leftChars="2500"/>
    </w:pPr>
    <w:rPr>
      <w:rFonts w:ascii="Calibri" w:hAnsi="Calibri" w:cs="Arial"/>
      <w:szCs w:val="22"/>
      <w:lang w:bidi="ar-SA"/>
    </w:rPr>
  </w:style>
  <w:style w:type="paragraph" w:styleId="9">
    <w:name w:val="Balloon Text"/>
    <w:basedOn w:val="1"/>
    <w:link w:val="26"/>
    <w:autoRedefine/>
    <w:semiHidden/>
    <w:unhideWhenUsed/>
    <w:qFormat/>
    <w:uiPriority w:val="99"/>
    <w:rPr>
      <w:sz w:val="18"/>
      <w:szCs w:val="18"/>
    </w:rPr>
  </w:style>
  <w:style w:type="paragraph" w:styleId="10">
    <w:name w:val="header"/>
    <w:basedOn w:val="1"/>
    <w:link w:val="20"/>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uiPriority w:val="99"/>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paragraph" w:styleId="12">
    <w:name w:val="Title"/>
    <w:basedOn w:val="1"/>
    <w:next w:val="1"/>
    <w:link w:val="28"/>
    <w:autoRedefine/>
    <w:qFormat/>
    <w:locked/>
    <w:uiPriority w:val="0"/>
    <w:pPr>
      <w:adjustRightInd w:val="0"/>
      <w:spacing w:before="240" w:after="60" w:line="312" w:lineRule="atLeast"/>
      <w:jc w:val="center"/>
      <w:textAlignment w:val="baseline"/>
      <w:outlineLvl w:val="0"/>
    </w:pPr>
    <w:rPr>
      <w:rFonts w:ascii="Cambria" w:hAnsi="Cambria"/>
      <w:b/>
      <w:bCs/>
      <w:kern w:val="0"/>
      <w:sz w:val="32"/>
      <w:szCs w:val="32"/>
      <w:lang w:bidi="ar-SA"/>
    </w:rPr>
  </w:style>
  <w:style w:type="table" w:styleId="14">
    <w:name w:val="Table Grid"/>
    <w:basedOn w:val="13"/>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autoRedefine/>
    <w:qFormat/>
    <w:uiPriority w:val="99"/>
    <w:rPr>
      <w:rFonts w:cs="Times New Roman"/>
    </w:rPr>
  </w:style>
  <w:style w:type="character" w:styleId="17">
    <w:name w:val="Hyperlink"/>
    <w:autoRedefine/>
    <w:qFormat/>
    <w:uiPriority w:val="0"/>
    <w:rPr>
      <w:color w:val="0000FF"/>
      <w:u w:val="single"/>
    </w:rPr>
  </w:style>
  <w:style w:type="character" w:customStyle="1" w:styleId="18">
    <w:name w:val="标题 2 Char"/>
    <w:basedOn w:val="15"/>
    <w:link w:val="3"/>
    <w:autoRedefine/>
    <w:qFormat/>
    <w:locked/>
    <w:uiPriority w:val="9"/>
    <w:rPr>
      <w:rFonts w:ascii="Arial" w:hAnsi="Arial" w:eastAsia="黑体" w:cs="Times New Roman"/>
      <w:b/>
      <w:bCs/>
      <w:kern w:val="2"/>
      <w:sz w:val="32"/>
      <w:szCs w:val="32"/>
    </w:rPr>
  </w:style>
  <w:style w:type="paragraph" w:customStyle="1" w:styleId="19">
    <w:name w:val="Char Char Char Char"/>
    <w:basedOn w:val="1"/>
    <w:autoRedefine/>
    <w:semiHidden/>
    <w:qFormat/>
    <w:uiPriority w:val="99"/>
    <w:pPr>
      <w:widowControl/>
      <w:spacing w:after="160" w:line="240" w:lineRule="exact"/>
      <w:jc w:val="left"/>
    </w:pPr>
    <w:rPr>
      <w:rFonts w:ascii="Verdana" w:hAnsi="Verdana"/>
      <w:kern w:val="0"/>
      <w:sz w:val="20"/>
      <w:szCs w:val="20"/>
      <w:lang w:eastAsia="en-US" w:bidi="ar-SA"/>
    </w:rPr>
  </w:style>
  <w:style w:type="character" w:customStyle="1" w:styleId="20">
    <w:name w:val="页眉 Char"/>
    <w:basedOn w:val="15"/>
    <w:link w:val="10"/>
    <w:autoRedefine/>
    <w:qFormat/>
    <w:locked/>
    <w:uiPriority w:val="99"/>
    <w:rPr>
      <w:rFonts w:cs="Times New Roman"/>
      <w:kern w:val="2"/>
      <w:sz w:val="18"/>
      <w:szCs w:val="18"/>
      <w:lang w:bidi="he-IL"/>
    </w:rPr>
  </w:style>
  <w:style w:type="character" w:customStyle="1" w:styleId="21">
    <w:name w:val="页脚 Char"/>
    <w:basedOn w:val="15"/>
    <w:link w:val="7"/>
    <w:autoRedefine/>
    <w:qFormat/>
    <w:locked/>
    <w:uiPriority w:val="99"/>
    <w:rPr>
      <w:rFonts w:cs="Times New Roman"/>
      <w:kern w:val="2"/>
      <w:sz w:val="18"/>
      <w:szCs w:val="18"/>
      <w:lang w:bidi="he-IL"/>
    </w:rPr>
  </w:style>
  <w:style w:type="character" w:customStyle="1" w:styleId="22">
    <w:name w:val="日期 Char"/>
    <w:basedOn w:val="15"/>
    <w:link w:val="8"/>
    <w:autoRedefine/>
    <w:qFormat/>
    <w:locked/>
    <w:uiPriority w:val="99"/>
    <w:rPr>
      <w:rFonts w:ascii="Calibri" w:hAnsi="Calibri" w:cs="Arial"/>
      <w:kern w:val="2"/>
      <w:sz w:val="22"/>
      <w:szCs w:val="22"/>
    </w:rPr>
  </w:style>
  <w:style w:type="paragraph" w:customStyle="1" w:styleId="23">
    <w:name w:val="List Paragraph1"/>
    <w:basedOn w:val="1"/>
    <w:autoRedefine/>
    <w:qFormat/>
    <w:uiPriority w:val="0"/>
    <w:pPr>
      <w:ind w:firstLine="200" w:firstLineChars="200"/>
    </w:pPr>
    <w:rPr>
      <w:rFonts w:ascii="Calibri" w:hAnsi="Calibri" w:cs="Arial"/>
      <w:szCs w:val="22"/>
      <w:lang w:bidi="ar-SA"/>
    </w:rPr>
  </w:style>
  <w:style w:type="character" w:customStyle="1" w:styleId="24">
    <w:name w:val="纯文本 Char"/>
    <w:basedOn w:val="15"/>
    <w:link w:val="6"/>
    <w:autoRedefine/>
    <w:qFormat/>
    <w:locked/>
    <w:uiPriority w:val="99"/>
    <w:rPr>
      <w:rFonts w:ascii="宋体" w:cs="Times New Roman"/>
      <w:sz w:val="24"/>
      <w:szCs w:val="24"/>
    </w:rPr>
  </w:style>
  <w:style w:type="paragraph" w:styleId="25">
    <w:name w:val="List Paragraph"/>
    <w:basedOn w:val="1"/>
    <w:autoRedefine/>
    <w:qFormat/>
    <w:uiPriority w:val="0"/>
    <w:pPr>
      <w:ind w:firstLine="420" w:firstLineChars="200"/>
    </w:pPr>
  </w:style>
  <w:style w:type="character" w:customStyle="1" w:styleId="26">
    <w:name w:val="批注框文本 Char"/>
    <w:basedOn w:val="15"/>
    <w:link w:val="9"/>
    <w:autoRedefine/>
    <w:semiHidden/>
    <w:qFormat/>
    <w:uiPriority w:val="99"/>
    <w:rPr>
      <w:kern w:val="2"/>
      <w:sz w:val="18"/>
      <w:szCs w:val="18"/>
      <w:lang w:bidi="he-IL"/>
    </w:rPr>
  </w:style>
  <w:style w:type="character" w:customStyle="1" w:styleId="27">
    <w:name w:val="标题 1 Char"/>
    <w:basedOn w:val="15"/>
    <w:link w:val="2"/>
    <w:autoRedefine/>
    <w:qFormat/>
    <w:uiPriority w:val="9"/>
    <w:rPr>
      <w:b/>
      <w:bCs/>
      <w:kern w:val="44"/>
      <w:sz w:val="44"/>
      <w:szCs w:val="44"/>
      <w:lang w:bidi="he-IL"/>
    </w:rPr>
  </w:style>
  <w:style w:type="character" w:customStyle="1" w:styleId="28">
    <w:name w:val="标题 Char"/>
    <w:basedOn w:val="15"/>
    <w:link w:val="12"/>
    <w:autoRedefine/>
    <w:qFormat/>
    <w:uiPriority w:val="0"/>
    <w:rPr>
      <w:rFonts w:ascii="Cambria" w:hAnsi="Cambria"/>
      <w:b/>
      <w:bCs/>
      <w:sz w:val="32"/>
      <w:szCs w:val="32"/>
    </w:rPr>
  </w:style>
  <w:style w:type="character" w:customStyle="1" w:styleId="29">
    <w:name w:val="font01"/>
    <w:autoRedefine/>
    <w:qFormat/>
    <w:uiPriority w:val="0"/>
    <w:rPr>
      <w:rFonts w:hint="eastAsia" w:ascii="宋体" w:hAnsi="宋体" w:eastAsia="宋体" w:cs="宋体"/>
      <w:color w:val="000000"/>
      <w:sz w:val="22"/>
      <w:szCs w:val="22"/>
      <w:u w:val="none"/>
    </w:rPr>
  </w:style>
  <w:style w:type="character" w:customStyle="1" w:styleId="30">
    <w:name w:val="正文文本缩进 Char"/>
    <w:basedOn w:val="15"/>
    <w:link w:val="5"/>
    <w:autoRedefine/>
    <w:qFormat/>
    <w:uiPriority w:val="0"/>
    <w:rPr>
      <w:rFonts w:ascii="宋体" w:hAnsi="宋体"/>
      <w:kern w:val="2"/>
      <w:sz w:val="28"/>
      <w:szCs w:val="24"/>
    </w:rPr>
  </w:style>
  <w:style w:type="character" w:customStyle="1" w:styleId="31">
    <w:name w:val="正文文本 Char"/>
    <w:basedOn w:val="15"/>
    <w:link w:val="4"/>
    <w:autoRedefine/>
    <w:qFormat/>
    <w:uiPriority w:val="0"/>
    <w:rPr>
      <w:b/>
      <w:bCs/>
      <w:sz w:val="24"/>
      <w:szCs w:val="24"/>
      <w:lang w:eastAsia="en-US"/>
    </w:rPr>
  </w:style>
  <w:style w:type="paragraph" w:customStyle="1" w:styleId="32">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1326</Words>
  <Characters>1403</Characters>
  <Lines>250</Lines>
  <Paragraphs>70</Paragraphs>
  <TotalTime>1022</TotalTime>
  <ScaleCrop>false</ScaleCrop>
  <LinksUpToDate>false</LinksUpToDate>
  <CharactersWithSpaces>1417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2019-10-08T03:23:00Z</dcterms:created>
  <dc:creator>微软用户</dc:creator>
  <cp:lastModifiedBy>小杨</cp:lastModifiedBy>
  <cp:lastPrinted>2019-07-25T02:15:00Z</cp:lastPrinted>
  <dcterms:modified xsi:type="dcterms:W3CDTF">2026-05-22T03:14:23Z</dcterms:modified>
  <dc:title>远东复合技术有限公司一台分电机传动框绞机招标技术要求</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4C0FEF87709246ACA5236B8B666DBCE5_13</vt:lpwstr>
  </property>
  <property fmtid="{D5CDD505-2E9C-101B-9397-08002B2CF9AE}" pid="4" name="KSOTemplateDocerSaveRecord">
    <vt:lpwstr>eyJoZGlkIjoiY2I5MjYxMzY2NzAwMzFlNjU5Nzg1OWE4MjZiYTlmMGYiLCJ1c2VySWQiOiI0MjcxMjIzOTkifQ==</vt:lpwstr>
  </property>
</Properties>
</file>